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text" w:horzAnchor="margin" w:tblpY="-159"/>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5"/>
        <w:gridCol w:w="2646"/>
        <w:gridCol w:w="1798"/>
        <w:gridCol w:w="3741"/>
      </w:tblGrid>
      <w:tr w:rsidR="008F3A58" w:rsidRPr="00420E12" w:rsidTr="008F3A58">
        <w:trPr>
          <w:trHeight w:val="295"/>
        </w:trPr>
        <w:tc>
          <w:tcPr>
            <w:tcW w:w="5079" w:type="dxa"/>
            <w:gridSpan w:val="3"/>
          </w:tcPr>
          <w:p w:rsidR="008F3A58" w:rsidRPr="00420E12" w:rsidRDefault="008F3A58" w:rsidP="008F3A58">
            <w:pPr>
              <w:jc w:val="both"/>
              <w:rPr>
                <w:rFonts w:ascii="Arial" w:hAnsi="Arial" w:hint="cs"/>
                <w:b/>
                <w:bCs/>
                <w:sz w:val="26"/>
                <w:szCs w:val="26"/>
                <w:rtl/>
              </w:rPr>
            </w:pPr>
          </w:p>
          <w:p w:rsidR="008F3A58" w:rsidRPr="00420E12" w:rsidRDefault="008F3A58" w:rsidP="008F3A58">
            <w:pPr>
              <w:ind w:firstLine="720"/>
              <w:rPr>
                <w:rFonts w:ascii="Arial" w:hAnsi="Arial"/>
                <w:sz w:val="26"/>
                <w:szCs w:val="26"/>
                <w:rtl/>
              </w:rPr>
            </w:pPr>
          </w:p>
        </w:tc>
        <w:tc>
          <w:tcPr>
            <w:tcW w:w="3741" w:type="dxa"/>
          </w:tcPr>
          <w:p w:rsidR="00A065CD" w:rsidRDefault="00A065CD">
            <w:pPr>
              <w:rPr>
                <w:rFonts w:ascii="Arial" w:hAnsi="Arial"/>
                <w:b/>
                <w:bCs/>
                <w:sz w:val="26"/>
                <w:szCs w:val="26"/>
              </w:rPr>
            </w:pPr>
          </w:p>
          <w:p w:rsidR="008F3A58" w:rsidRPr="00420E12" w:rsidRDefault="008F3A58" w:rsidP="008F3A58">
            <w:pPr>
              <w:jc w:val="both"/>
              <w:rPr>
                <w:rFonts w:ascii="Arial" w:hAnsi="Arial"/>
                <w:b/>
                <w:bCs/>
                <w:sz w:val="26"/>
                <w:szCs w:val="26"/>
                <w:rtl/>
              </w:rPr>
            </w:pPr>
          </w:p>
        </w:tc>
      </w:tr>
      <w:tr w:rsidR="008F3A58" w:rsidRPr="00420E12" w:rsidTr="008F3A58">
        <w:trPr>
          <w:trHeight w:val="295"/>
        </w:trPr>
        <w:tc>
          <w:tcPr>
            <w:tcW w:w="635" w:type="dxa"/>
          </w:tcPr>
          <w:p w:rsidR="008F3A58" w:rsidRPr="00420E12" w:rsidRDefault="008F3A58" w:rsidP="008F3A58">
            <w:pPr>
              <w:jc w:val="both"/>
              <w:rPr>
                <w:rFonts w:ascii="Arial" w:hAnsi="Arial"/>
                <w:b/>
                <w:bCs/>
                <w:sz w:val="26"/>
                <w:szCs w:val="26"/>
              </w:rPr>
            </w:pPr>
            <w:r w:rsidRPr="00420E12">
              <w:rPr>
                <w:rFonts w:ascii="Arial" w:hAnsi="Arial" w:hint="cs"/>
                <w:b/>
                <w:bCs/>
                <w:sz w:val="26"/>
                <w:szCs w:val="26"/>
                <w:rtl/>
              </w:rPr>
              <w:t>ל</w:t>
            </w:r>
            <w:r w:rsidRPr="00420E12">
              <w:rPr>
                <w:rFonts w:ascii="Arial" w:hAnsi="Arial"/>
                <w:b/>
                <w:bCs/>
                <w:sz w:val="26"/>
                <w:szCs w:val="26"/>
                <w:rtl/>
              </w:rPr>
              <w:t xml:space="preserve">פני </w:t>
            </w:r>
          </w:p>
        </w:tc>
        <w:tc>
          <w:tcPr>
            <w:tcW w:w="8185" w:type="dxa"/>
            <w:gridSpan w:val="3"/>
          </w:tcPr>
          <w:p w:rsidR="008F3A58" w:rsidRPr="00420E12" w:rsidRDefault="008F3A58" w:rsidP="008F3A58">
            <w:pPr>
              <w:rPr>
                <w:rFonts w:ascii="Arial" w:hAnsi="Arial"/>
                <w:b/>
                <w:bCs/>
                <w:sz w:val="26"/>
                <w:szCs w:val="26"/>
                <w:rtl/>
              </w:rPr>
            </w:pPr>
            <w:r w:rsidRPr="00420E12">
              <w:rPr>
                <w:rFonts w:ascii="Arial" w:hAnsi="Arial" w:hint="cs"/>
                <w:b/>
                <w:bCs/>
                <w:sz w:val="26"/>
                <w:szCs w:val="26"/>
                <w:rtl/>
              </w:rPr>
              <w:t xml:space="preserve">כב' </w:t>
            </w:r>
            <w:r w:rsidRPr="00420E12">
              <w:rPr>
                <w:rFonts w:ascii="Arial" w:hAnsi="Arial"/>
                <w:b/>
                <w:bCs/>
                <w:sz w:val="26"/>
                <w:szCs w:val="26"/>
                <w:rtl/>
              </w:rPr>
              <w:t>ה</w:t>
            </w:r>
            <w:sdt>
              <w:sdtPr>
                <w:rPr>
                  <w:sz w:val="26"/>
                  <w:szCs w:val="26"/>
                  <w:rtl/>
                </w:rPr>
                <w:alias w:val="1574"/>
                <w:tag w:val="1574"/>
                <w:id w:val="1264808568"/>
                <w:text w:multiLine="1"/>
              </w:sdtPr>
              <w:sdtEndPr/>
              <w:sdtContent>
                <w:r>
                  <w:rPr>
                    <w:rFonts w:ascii="Arial" w:hAnsi="Arial"/>
                    <w:b/>
                    <w:bCs/>
                    <w:sz w:val="26"/>
                    <w:szCs w:val="26"/>
                    <w:rtl/>
                  </w:rPr>
                  <w:t>שופטת</w:t>
                </w:r>
              </w:sdtContent>
            </w:sdt>
            <w:r w:rsidRPr="00420E12">
              <w:rPr>
                <w:rFonts w:ascii="Arial" w:hAnsi="Arial"/>
                <w:b/>
                <w:bCs/>
                <w:sz w:val="26"/>
                <w:szCs w:val="26"/>
                <w:rtl/>
              </w:rPr>
              <w:t xml:space="preserve">  </w:t>
            </w:r>
            <w:sdt>
              <w:sdtPr>
                <w:rPr>
                  <w:sz w:val="26"/>
                  <w:szCs w:val="26"/>
                  <w:rtl/>
                </w:rPr>
                <w:alias w:val="1573"/>
                <w:tag w:val="1573"/>
                <w:id w:val="-1044745739"/>
                <w:text w:multiLine="1"/>
              </w:sdtPr>
              <w:sdtEndPr/>
              <w:sdtContent>
                <w:r>
                  <w:rPr>
                    <w:rFonts w:ascii="Arial" w:hAnsi="Arial"/>
                    <w:b/>
                    <w:bCs/>
                    <w:sz w:val="26"/>
                    <w:szCs w:val="26"/>
                    <w:rtl/>
                  </w:rPr>
                  <w:t>ירדנה סרוסי</w:t>
                </w:r>
              </w:sdtContent>
            </w:sdt>
          </w:p>
          <w:p w:rsidR="008F3A58" w:rsidRPr="00420E12" w:rsidRDefault="008F3A58" w:rsidP="008F3A58">
            <w:pPr>
              <w:rPr>
                <w:rFonts w:ascii="Arial" w:hAnsi="Arial" w:cs="FrankRuehl"/>
                <w:sz w:val="26"/>
                <w:szCs w:val="26"/>
                <w:highlight w:val="yellow"/>
              </w:rPr>
            </w:pPr>
          </w:p>
        </w:tc>
      </w:tr>
      <w:tr w:rsidR="008F3A58" w:rsidRPr="00420E12" w:rsidTr="008F3A58">
        <w:tc>
          <w:tcPr>
            <w:tcW w:w="3281" w:type="dxa"/>
            <w:gridSpan w:val="2"/>
          </w:tcPr>
          <w:sdt>
            <w:sdtPr>
              <w:rPr>
                <w:b/>
                <w:bCs/>
                <w:sz w:val="26"/>
                <w:szCs w:val="26"/>
                <w:rtl/>
              </w:rPr>
              <w:alias w:val="1180"/>
              <w:tag w:val="1180"/>
              <w:id w:val="1169446867"/>
              <w:text w:multiLine="1"/>
            </w:sdtPr>
            <w:sdtEndPr/>
            <w:sdtContent>
              <w:p w:rsidR="00A065CD" w:rsidRDefault="00E44F63">
                <w:pPr>
                  <w:rPr>
                    <w:rFonts w:ascii="Arial" w:hAnsi="Arial"/>
                    <w:b/>
                    <w:bCs/>
                    <w:sz w:val="26"/>
                    <w:szCs w:val="26"/>
                  </w:rPr>
                </w:pPr>
                <w:r w:rsidRPr="000D3604">
                  <w:rPr>
                    <w:rFonts w:ascii="Arial" w:hAnsi="Arial"/>
                    <w:b/>
                    <w:bCs/>
                    <w:sz w:val="26"/>
                    <w:szCs w:val="26"/>
                    <w:rtl/>
                  </w:rPr>
                  <w:t>מערערים</w:t>
                </w:r>
                <w:r w:rsidR="000D3604" w:rsidRPr="000D3604">
                  <w:rPr>
                    <w:b/>
                    <w:bCs/>
                    <w:sz w:val="26"/>
                    <w:szCs w:val="26"/>
                    <w:rtl/>
                  </w:rPr>
                  <w:br/>
                </w:r>
                <w:r w:rsidR="000D3604" w:rsidRPr="000D3604">
                  <w:rPr>
                    <w:rFonts w:hint="cs"/>
                    <w:b/>
                    <w:bCs/>
                    <w:sz w:val="26"/>
                    <w:szCs w:val="26"/>
                    <w:rtl/>
                  </w:rPr>
                  <w:t>(המבקשים)</w:t>
                </w:r>
              </w:p>
            </w:sdtContent>
          </w:sdt>
        </w:tc>
        <w:tc>
          <w:tcPr>
            <w:tcW w:w="5539" w:type="dxa"/>
            <w:gridSpan w:val="2"/>
          </w:tcPr>
          <w:p w:rsidR="008F3A58" w:rsidRPr="00420E12" w:rsidRDefault="008F3A58" w:rsidP="008F3A58">
            <w:pPr>
              <w:rPr>
                <w:rFonts w:ascii="Arial" w:hAnsi="Arial"/>
                <w:b/>
                <w:bCs/>
                <w:sz w:val="26"/>
                <w:szCs w:val="26"/>
                <w:rtl/>
              </w:rPr>
            </w:pPr>
          </w:p>
          <w:p w:rsidR="008F3A58" w:rsidRPr="00420E12" w:rsidRDefault="00183443" w:rsidP="008F3A58">
            <w:pPr>
              <w:rPr>
                <w:rFonts w:ascii="Arial" w:hAnsi="Arial"/>
                <w:b/>
                <w:bCs/>
                <w:sz w:val="26"/>
                <w:szCs w:val="26"/>
                <w:rtl/>
              </w:rPr>
            </w:pPr>
            <w:sdt>
              <w:sdtPr>
                <w:rPr>
                  <w:sz w:val="26"/>
                  <w:szCs w:val="26"/>
                  <w:rtl/>
                </w:rPr>
                <w:alias w:val="1462"/>
                <w:tag w:val="1462"/>
                <w:id w:val="-2113119621"/>
                <w:text w:multiLine="1"/>
              </w:sdtPr>
              <w:sdtEndPr/>
              <w:sdtContent>
                <w:r w:rsidR="00E67EFF">
                  <w:rPr>
                    <w:rFonts w:ascii="Arial" w:hAnsi="Arial"/>
                    <w:b/>
                    <w:bCs/>
                    <w:sz w:val="26"/>
                    <w:szCs w:val="26"/>
                    <w:rtl/>
                  </w:rPr>
                  <w:t>1</w:t>
                </w:r>
              </w:sdtContent>
            </w:sdt>
            <w:r w:rsidR="008F3A58" w:rsidRPr="00420E12">
              <w:rPr>
                <w:rFonts w:ascii="Arial" w:hAnsi="Arial" w:hint="cs"/>
                <w:b/>
                <w:bCs/>
                <w:sz w:val="26"/>
                <w:szCs w:val="26"/>
                <w:rtl/>
              </w:rPr>
              <w:t>.</w:t>
            </w:r>
            <w:r w:rsidR="008F3A58" w:rsidRPr="00420E12">
              <w:rPr>
                <w:b/>
                <w:bCs/>
                <w:sz w:val="26"/>
                <w:szCs w:val="26"/>
                <w:rtl/>
              </w:rPr>
              <w:t xml:space="preserve"> </w:t>
            </w:r>
            <w:sdt>
              <w:sdtPr>
                <w:rPr>
                  <w:b/>
                  <w:bCs/>
                  <w:sz w:val="26"/>
                  <w:szCs w:val="26"/>
                  <w:rtl/>
                </w:rPr>
                <w:alias w:val="1478"/>
                <w:tag w:val="1478"/>
                <w:id w:val="2124652378"/>
                <w:text w:multiLine="1"/>
              </w:sdtPr>
              <w:sdtEndPr/>
              <w:sdtContent>
                <w:r w:rsidR="00E67EFF" w:rsidRPr="000D3604">
                  <w:rPr>
                    <w:b/>
                    <w:bCs/>
                    <w:sz w:val="26"/>
                    <w:szCs w:val="26"/>
                    <w:rtl/>
                  </w:rPr>
                  <w:t>לירן יחזקאל</w:t>
                </w:r>
              </w:sdtContent>
            </w:sdt>
            <w:r w:rsidR="008F3A58" w:rsidRPr="00420E12">
              <w:rPr>
                <w:rFonts w:ascii="Arial" w:hAnsi="Arial"/>
                <w:b/>
                <w:bCs/>
                <w:sz w:val="26"/>
                <w:szCs w:val="26"/>
                <w:rtl/>
              </w:rPr>
              <w:t xml:space="preserve">    </w:t>
            </w:r>
          </w:p>
          <w:p w:rsidR="000D3604" w:rsidRDefault="00183443" w:rsidP="008F3A58">
            <w:pPr>
              <w:rPr>
                <w:rFonts w:ascii="Arial" w:hAnsi="Arial"/>
                <w:b/>
                <w:bCs/>
                <w:sz w:val="26"/>
                <w:szCs w:val="26"/>
                <w:rtl/>
              </w:rPr>
            </w:pPr>
            <w:sdt>
              <w:sdtPr>
                <w:rPr>
                  <w:sz w:val="26"/>
                  <w:szCs w:val="26"/>
                  <w:rtl/>
                </w:rPr>
                <w:alias w:val="1462"/>
                <w:tag w:val="1462"/>
                <w:id w:val="1698343423"/>
                <w:text w:multiLine="1"/>
              </w:sdtPr>
              <w:sdtEndPr/>
              <w:sdtContent>
                <w:r w:rsidR="00E67EFF">
                  <w:rPr>
                    <w:rFonts w:ascii="Arial" w:hAnsi="Arial"/>
                    <w:b/>
                    <w:bCs/>
                    <w:sz w:val="26"/>
                    <w:szCs w:val="26"/>
                    <w:rtl/>
                  </w:rPr>
                  <w:t>2</w:t>
                </w:r>
              </w:sdtContent>
            </w:sdt>
            <w:r w:rsidR="008F3A58" w:rsidRPr="00420E12">
              <w:rPr>
                <w:rFonts w:ascii="Arial" w:hAnsi="Arial" w:hint="cs"/>
                <w:b/>
                <w:bCs/>
                <w:sz w:val="26"/>
                <w:szCs w:val="26"/>
                <w:rtl/>
              </w:rPr>
              <w:t>.</w:t>
            </w:r>
            <w:r w:rsidR="008F3A58" w:rsidRPr="00420E12">
              <w:rPr>
                <w:b/>
                <w:bCs/>
                <w:sz w:val="26"/>
                <w:szCs w:val="26"/>
                <w:rtl/>
              </w:rPr>
              <w:t xml:space="preserve"> </w:t>
            </w:r>
            <w:sdt>
              <w:sdtPr>
                <w:rPr>
                  <w:b/>
                  <w:bCs/>
                  <w:sz w:val="26"/>
                  <w:szCs w:val="26"/>
                  <w:rtl/>
                </w:rPr>
                <w:alias w:val="1478"/>
                <w:tag w:val="1478"/>
                <w:id w:val="-150762062"/>
                <w:text w:multiLine="1"/>
              </w:sdtPr>
              <w:sdtEndPr/>
              <w:sdtContent>
                <w:r w:rsidR="00E67EFF" w:rsidRPr="000D3604">
                  <w:rPr>
                    <w:b/>
                    <w:bCs/>
                    <w:sz w:val="26"/>
                    <w:szCs w:val="26"/>
                    <w:rtl/>
                  </w:rPr>
                  <w:t>ענבל יחזקאל</w:t>
                </w:r>
              </w:sdtContent>
            </w:sdt>
            <w:r w:rsidR="008F3A58" w:rsidRPr="00420E12">
              <w:rPr>
                <w:rFonts w:ascii="Arial" w:hAnsi="Arial"/>
                <w:b/>
                <w:bCs/>
                <w:sz w:val="26"/>
                <w:szCs w:val="26"/>
                <w:rtl/>
              </w:rPr>
              <w:t xml:space="preserve">  </w:t>
            </w:r>
          </w:p>
          <w:p w:rsidR="000D3604" w:rsidRDefault="000D3604" w:rsidP="008F3A58">
            <w:pPr>
              <w:rPr>
                <w:rFonts w:ascii="Arial" w:hAnsi="Arial"/>
                <w:b/>
                <w:bCs/>
                <w:sz w:val="26"/>
                <w:szCs w:val="26"/>
                <w:rtl/>
              </w:rPr>
            </w:pPr>
            <w:r>
              <w:rPr>
                <w:rFonts w:ascii="Arial" w:hAnsi="Arial" w:hint="cs"/>
                <w:b/>
                <w:bCs/>
                <w:sz w:val="26"/>
                <w:szCs w:val="26"/>
                <w:rtl/>
              </w:rPr>
              <w:t>3. נתנאל ביטון</w:t>
            </w:r>
          </w:p>
          <w:p w:rsidR="008F3A58" w:rsidRPr="00420E12" w:rsidRDefault="000D3604" w:rsidP="008F3A58">
            <w:pPr>
              <w:rPr>
                <w:rFonts w:ascii="Arial" w:hAnsi="Arial"/>
                <w:b/>
                <w:bCs/>
                <w:sz w:val="26"/>
                <w:szCs w:val="26"/>
                <w:rtl/>
              </w:rPr>
            </w:pPr>
            <w:r>
              <w:rPr>
                <w:rFonts w:ascii="Arial" w:hAnsi="Arial" w:hint="cs"/>
                <w:b/>
                <w:bCs/>
                <w:sz w:val="26"/>
                <w:szCs w:val="26"/>
                <w:rtl/>
              </w:rPr>
              <w:t>4. דינה ביטון</w:t>
            </w:r>
            <w:r w:rsidR="008F3A58" w:rsidRPr="00420E12">
              <w:rPr>
                <w:rFonts w:ascii="Arial" w:hAnsi="Arial"/>
                <w:b/>
                <w:bCs/>
                <w:sz w:val="26"/>
                <w:szCs w:val="26"/>
                <w:rtl/>
              </w:rPr>
              <w:t xml:space="preserve">  </w:t>
            </w:r>
          </w:p>
          <w:p w:rsidR="008F3A58" w:rsidRPr="00420E12" w:rsidRDefault="000D3604" w:rsidP="008F3A58">
            <w:pPr>
              <w:rPr>
                <w:rFonts w:ascii="Arial" w:hAnsi="Arial"/>
                <w:b/>
                <w:bCs/>
                <w:sz w:val="26"/>
                <w:szCs w:val="26"/>
              </w:rPr>
            </w:pPr>
            <w:r>
              <w:rPr>
                <w:rFonts w:ascii="Arial" w:hAnsi="Arial" w:hint="cs"/>
                <w:b/>
                <w:bCs/>
                <w:sz w:val="26"/>
                <w:szCs w:val="26"/>
                <w:rtl/>
              </w:rPr>
              <w:t>ע"י ב"כ ירון אבני</w:t>
            </w:r>
          </w:p>
        </w:tc>
      </w:tr>
      <w:tr w:rsidR="008F3A58" w:rsidRPr="00420E12" w:rsidTr="008F3A58">
        <w:tc>
          <w:tcPr>
            <w:tcW w:w="8820" w:type="dxa"/>
            <w:gridSpan w:val="4"/>
          </w:tcPr>
          <w:p w:rsidR="008F3A58" w:rsidRPr="00420E12" w:rsidRDefault="008F3A58" w:rsidP="008F3A58">
            <w:pPr>
              <w:rPr>
                <w:rFonts w:ascii="Arial" w:hAnsi="Arial"/>
                <w:b/>
                <w:bCs/>
                <w:sz w:val="26"/>
                <w:szCs w:val="26"/>
                <w:rtl/>
              </w:rPr>
            </w:pPr>
          </w:p>
          <w:p w:rsidR="008F3A58" w:rsidRPr="00420E12" w:rsidRDefault="008F3A58" w:rsidP="008F3A58">
            <w:pPr>
              <w:jc w:val="center"/>
              <w:rPr>
                <w:rFonts w:ascii="Arial" w:hAnsi="Arial"/>
                <w:b/>
                <w:bCs/>
                <w:sz w:val="26"/>
                <w:szCs w:val="26"/>
                <w:rtl/>
              </w:rPr>
            </w:pPr>
            <w:r w:rsidRPr="00420E12">
              <w:rPr>
                <w:rFonts w:ascii="Arial" w:hAnsi="Arial"/>
                <w:b/>
                <w:bCs/>
                <w:sz w:val="26"/>
                <w:szCs w:val="26"/>
                <w:rtl/>
              </w:rPr>
              <w:t>נגד</w:t>
            </w:r>
          </w:p>
          <w:p w:rsidR="008F3A58" w:rsidRPr="00420E12" w:rsidRDefault="008F3A58" w:rsidP="008F3A58">
            <w:pPr>
              <w:rPr>
                <w:rFonts w:ascii="Arial" w:hAnsi="Arial"/>
                <w:b/>
                <w:bCs/>
                <w:sz w:val="26"/>
                <w:szCs w:val="26"/>
              </w:rPr>
            </w:pPr>
          </w:p>
        </w:tc>
      </w:tr>
      <w:tr w:rsidR="008F3A58" w:rsidRPr="00420E12" w:rsidTr="008F3A58">
        <w:sdt>
          <w:sdtPr>
            <w:rPr>
              <w:sz w:val="26"/>
              <w:szCs w:val="26"/>
              <w:rtl/>
            </w:rPr>
            <w:alias w:val="1184"/>
            <w:tag w:val="1184"/>
            <w:id w:val="469171988"/>
            <w:text/>
          </w:sdtPr>
          <w:sdtEndPr/>
          <w:sdtContent>
            <w:tc>
              <w:tcPr>
                <w:tcW w:w="3281" w:type="dxa"/>
                <w:gridSpan w:val="2"/>
              </w:tcPr>
              <w:p w:rsidR="008F3A58" w:rsidRPr="00420E12" w:rsidRDefault="008F3A58" w:rsidP="000D3604">
                <w:pPr>
                  <w:rPr>
                    <w:rFonts w:ascii="Arial" w:hAnsi="Arial"/>
                    <w:b/>
                    <w:bCs/>
                    <w:sz w:val="26"/>
                    <w:szCs w:val="26"/>
                  </w:rPr>
                </w:pPr>
                <w:r w:rsidRPr="00420E12">
                  <w:rPr>
                    <w:rFonts w:ascii="Arial" w:hAnsi="Arial"/>
                    <w:b/>
                    <w:bCs/>
                    <w:sz w:val="26"/>
                    <w:szCs w:val="26"/>
                    <w:rtl/>
                  </w:rPr>
                  <w:t>משיב</w:t>
                </w:r>
              </w:p>
            </w:tc>
          </w:sdtContent>
        </w:sdt>
        <w:tc>
          <w:tcPr>
            <w:tcW w:w="5539" w:type="dxa"/>
            <w:gridSpan w:val="2"/>
          </w:tcPr>
          <w:p w:rsidR="008F3A58" w:rsidRPr="00420E12" w:rsidRDefault="008F3A58" w:rsidP="008F3A58">
            <w:pPr>
              <w:rPr>
                <w:rFonts w:ascii="Arial" w:hAnsi="Arial"/>
                <w:b/>
                <w:bCs/>
                <w:sz w:val="26"/>
                <w:szCs w:val="26"/>
                <w:rtl/>
              </w:rPr>
            </w:pPr>
          </w:p>
          <w:p w:rsidR="008F3A58" w:rsidRPr="00420E12" w:rsidRDefault="00183443" w:rsidP="008F3A58">
            <w:pPr>
              <w:rPr>
                <w:rFonts w:ascii="Arial" w:hAnsi="Arial"/>
                <w:b/>
                <w:bCs/>
                <w:sz w:val="26"/>
                <w:szCs w:val="26"/>
                <w:rtl/>
              </w:rPr>
            </w:pPr>
            <w:sdt>
              <w:sdtPr>
                <w:rPr>
                  <w:b/>
                  <w:bCs/>
                  <w:sz w:val="26"/>
                  <w:szCs w:val="26"/>
                  <w:rtl/>
                </w:rPr>
                <w:alias w:val="1486"/>
                <w:tag w:val="1486"/>
                <w:id w:val="-1044989751"/>
                <w:text w:multiLine="1"/>
              </w:sdtPr>
              <w:sdtEndPr/>
              <w:sdtContent>
                <w:r w:rsidR="00E67EFF" w:rsidRPr="000D3604">
                  <w:rPr>
                    <w:b/>
                    <w:bCs/>
                    <w:sz w:val="26"/>
                    <w:szCs w:val="26"/>
                    <w:rtl/>
                  </w:rPr>
                  <w:t>פקיד שומה יחידה ארצית לשומה</w:t>
                </w:r>
                <w:r w:rsidR="000D3604">
                  <w:rPr>
                    <w:b/>
                    <w:bCs/>
                    <w:sz w:val="26"/>
                    <w:szCs w:val="26"/>
                    <w:rtl/>
                  </w:rPr>
                  <w:br/>
                </w:r>
                <w:r w:rsidR="000D3604">
                  <w:rPr>
                    <w:rFonts w:hint="cs"/>
                    <w:b/>
                    <w:bCs/>
                    <w:sz w:val="26"/>
                    <w:szCs w:val="26"/>
                    <w:rtl/>
                  </w:rPr>
                  <w:t>ע"י ב"כ עו"ד שירה פרלא</w:t>
                </w:r>
                <w:r w:rsidR="000D3604">
                  <w:rPr>
                    <w:b/>
                    <w:bCs/>
                    <w:sz w:val="26"/>
                    <w:szCs w:val="26"/>
                    <w:rtl/>
                  </w:rPr>
                  <w:br/>
                </w:r>
                <w:r w:rsidR="000D3604">
                  <w:rPr>
                    <w:rFonts w:hint="cs"/>
                    <w:b/>
                    <w:bCs/>
                    <w:sz w:val="26"/>
                    <w:szCs w:val="26"/>
                    <w:rtl/>
                  </w:rPr>
                  <w:t>פמת"א (אזרחי)</w:t>
                </w:r>
              </w:sdtContent>
            </w:sdt>
          </w:p>
          <w:p w:rsidR="008F3A58" w:rsidRPr="00420E12" w:rsidRDefault="008F3A58" w:rsidP="008F3A58">
            <w:pPr>
              <w:rPr>
                <w:rFonts w:ascii="Arial" w:hAnsi="Arial"/>
                <w:b/>
                <w:bCs/>
                <w:sz w:val="26"/>
                <w:szCs w:val="26"/>
                <w:rtl/>
              </w:rPr>
            </w:pPr>
          </w:p>
          <w:p w:rsidR="008F3A58" w:rsidRPr="00420E12" w:rsidRDefault="008F3A58" w:rsidP="008F3A58">
            <w:pPr>
              <w:bidi w:val="0"/>
              <w:jc w:val="right"/>
              <w:rPr>
                <w:rFonts w:ascii="Arial" w:hAnsi="Arial"/>
                <w:b/>
                <w:bCs/>
                <w:sz w:val="26"/>
                <w:szCs w:val="26"/>
                <w:rtl/>
              </w:rPr>
            </w:pPr>
          </w:p>
        </w:tc>
      </w:tr>
    </w:tbl>
    <w:p w:rsidR="0002177A" w:rsidRDefault="0002177A">
      <w:pPr>
        <w:rPr>
          <w:rtl/>
        </w:rPr>
      </w:pPr>
    </w:p>
    <w:p w:rsidR="0002177A" w:rsidRDefault="0002177A">
      <w:pPr>
        <w:rPr>
          <w:rtl/>
        </w:rPr>
      </w:pPr>
    </w:p>
    <w:p w:rsidR="0002177A" w:rsidRDefault="0002177A"/>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Pr="000D3604" w:rsidRDefault="00375F47">
            <w:pPr>
              <w:jc w:val="center"/>
              <w:rPr>
                <w:rFonts w:ascii="Arial" w:hAnsi="Arial"/>
                <w:b/>
                <w:bCs/>
                <w:sz w:val="32"/>
                <w:szCs w:val="32"/>
                <w:u w:val="single"/>
              </w:rPr>
            </w:pPr>
            <w:r w:rsidRPr="000D3604">
              <w:rPr>
                <w:rFonts w:ascii="Arial" w:hAnsi="Arial"/>
                <w:b/>
                <w:bCs/>
                <w:sz w:val="32"/>
                <w:szCs w:val="32"/>
                <w:u w:val="single"/>
                <w:rtl/>
              </w:rPr>
              <w:t>החלטה</w:t>
            </w:r>
          </w:p>
        </w:tc>
      </w:tr>
    </w:tbl>
    <w:p w:rsidR="0002177A" w:rsidRDefault="0002177A" w:rsidP="00420E12">
      <w:pPr>
        <w:spacing w:line="360" w:lineRule="auto"/>
        <w:rPr>
          <w:rFonts w:ascii="Arial" w:hAnsi="Arial"/>
          <w:rtl/>
        </w:rPr>
      </w:pPr>
    </w:p>
    <w:p w:rsidR="000D3604" w:rsidRDefault="000D3604" w:rsidP="000D3604">
      <w:pPr>
        <w:spacing w:after="160" w:line="360" w:lineRule="auto"/>
        <w:jc w:val="both"/>
        <w:rPr>
          <w:rFonts w:asciiTheme="minorHAnsi" w:hAnsiTheme="minorHAnsi"/>
          <w:sz w:val="26"/>
          <w:szCs w:val="26"/>
        </w:rPr>
      </w:pPr>
      <w:r>
        <w:rPr>
          <w:rFonts w:asciiTheme="minorHAnsi" w:hAnsiTheme="minorHAnsi"/>
          <w:sz w:val="26"/>
          <w:szCs w:val="26"/>
          <w:rtl/>
        </w:rPr>
        <w:t>בפניי בקשה לביטול פסק דין בהתאם לתקנה 131 לתקנות סדר הדין האזרחי, התשע"ט-2018 (להלן: "</w:t>
      </w:r>
      <w:r>
        <w:rPr>
          <w:rFonts w:asciiTheme="minorHAnsi" w:hAnsiTheme="minorHAnsi"/>
          <w:b/>
          <w:bCs/>
          <w:sz w:val="26"/>
          <w:szCs w:val="26"/>
          <w:rtl/>
        </w:rPr>
        <w:t>הבקשה</w:t>
      </w:r>
      <w:r>
        <w:rPr>
          <w:rFonts w:asciiTheme="minorHAnsi" w:hAnsiTheme="minorHAnsi"/>
          <w:sz w:val="26"/>
          <w:szCs w:val="26"/>
          <w:rtl/>
        </w:rPr>
        <w:t>").</w:t>
      </w:r>
    </w:p>
    <w:p w:rsidR="000D3604" w:rsidRDefault="000D3604" w:rsidP="000D3604">
      <w:pPr>
        <w:spacing w:after="160" w:line="360" w:lineRule="auto"/>
        <w:jc w:val="both"/>
        <w:rPr>
          <w:rFonts w:asciiTheme="minorHAnsi" w:hAnsiTheme="minorHAnsi"/>
          <w:b/>
          <w:bCs/>
          <w:sz w:val="28"/>
          <w:szCs w:val="28"/>
          <w:u w:val="single"/>
          <w:rtl/>
        </w:rPr>
      </w:pPr>
      <w:r>
        <w:rPr>
          <w:rFonts w:asciiTheme="minorHAnsi" w:hAnsiTheme="minorHAnsi"/>
          <w:b/>
          <w:bCs/>
          <w:sz w:val="28"/>
          <w:szCs w:val="28"/>
          <w:u w:val="single"/>
          <w:rtl/>
        </w:rPr>
        <w:lastRenderedPageBreak/>
        <w:t>רקע בתמצית</w:t>
      </w:r>
    </w:p>
    <w:p w:rsidR="000D3604" w:rsidRDefault="000D3604" w:rsidP="000D3604">
      <w:pPr>
        <w:numPr>
          <w:ilvl w:val="0"/>
          <w:numId w:val="4"/>
        </w:numPr>
        <w:spacing w:after="240" w:line="360" w:lineRule="auto"/>
        <w:jc w:val="both"/>
        <w:rPr>
          <w:rFonts w:asciiTheme="minorHAnsi" w:hAnsiTheme="minorHAnsi"/>
          <w:sz w:val="26"/>
          <w:szCs w:val="26"/>
          <w:rtl/>
        </w:rPr>
      </w:pPr>
      <w:r>
        <w:rPr>
          <w:rFonts w:asciiTheme="minorHAnsi" w:hAnsiTheme="minorHAnsi"/>
          <w:sz w:val="26"/>
          <w:szCs w:val="26"/>
          <w:rtl/>
        </w:rPr>
        <w:t>למבקשים הוצאו צווים לתשלום מס הכנסה לשנים 2010 – 2015. המבקשים הגישו ערעורי מס על הצווים הללו.</w:t>
      </w:r>
    </w:p>
    <w:p w:rsidR="000D3604" w:rsidRDefault="000D3604" w:rsidP="000D3604">
      <w:pPr>
        <w:pStyle w:val="ab"/>
        <w:numPr>
          <w:ilvl w:val="0"/>
          <w:numId w:val="4"/>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עוד קודם לכן, ה</w:t>
      </w:r>
      <w:bookmarkStart w:id="0" w:name="_GoBack"/>
      <w:bookmarkEnd w:id="0"/>
      <w:r>
        <w:rPr>
          <w:rFonts w:asciiTheme="minorHAnsi" w:hAnsiTheme="minorHAnsi"/>
          <w:noProof w:val="0"/>
          <w:sz w:val="26"/>
          <w:szCs w:val="26"/>
          <w:rtl/>
        </w:rPr>
        <w:t>מבקשים 1 ו-2 הורשעו בפסק דין חלוט בעבירות שונות, לרבות בעבירות לפי פקודת מס הכנסה [נוסח חדש], התשכ"א-1961 (להלן: "</w:t>
      </w:r>
      <w:r>
        <w:rPr>
          <w:rFonts w:asciiTheme="minorHAnsi" w:hAnsiTheme="minorHAnsi"/>
          <w:b/>
          <w:bCs/>
          <w:noProof w:val="0"/>
          <w:sz w:val="26"/>
          <w:szCs w:val="26"/>
          <w:rtl/>
        </w:rPr>
        <w:t>הפקודה</w:t>
      </w:r>
      <w:r>
        <w:rPr>
          <w:rFonts w:asciiTheme="minorHAnsi" w:hAnsiTheme="minorHAnsi"/>
          <w:noProof w:val="0"/>
          <w:sz w:val="26"/>
          <w:szCs w:val="26"/>
          <w:rtl/>
        </w:rPr>
        <w:t xml:space="preserve">") ולרבות בכך שהם לא ניהלו ספרים באותן השנים (ת"פ (מחוזי ת"א) 33180-08-16 </w:t>
      </w:r>
      <w:r>
        <w:rPr>
          <w:rFonts w:asciiTheme="minorHAnsi" w:hAnsiTheme="minorHAnsi"/>
          <w:b/>
          <w:bCs/>
          <w:noProof w:val="0"/>
          <w:sz w:val="26"/>
          <w:szCs w:val="26"/>
          <w:rtl/>
        </w:rPr>
        <w:t>מדינת ישראל נ' יחזקאל</w:t>
      </w:r>
      <w:r>
        <w:rPr>
          <w:rFonts w:asciiTheme="minorHAnsi" w:hAnsiTheme="minorHAnsi"/>
          <w:noProof w:val="0"/>
          <w:sz w:val="26"/>
          <w:szCs w:val="26"/>
          <w:rtl/>
        </w:rPr>
        <w:t xml:space="preserve"> (14.6.2018) ו-ע"פ 5727/18 </w:t>
      </w:r>
      <w:r>
        <w:rPr>
          <w:rFonts w:asciiTheme="minorHAnsi" w:hAnsiTheme="minorHAnsi"/>
          <w:b/>
          <w:bCs/>
          <w:noProof w:val="0"/>
          <w:sz w:val="26"/>
          <w:szCs w:val="26"/>
          <w:rtl/>
        </w:rPr>
        <w:t>יחזקאל נ' מדינת ישראל</w:t>
      </w:r>
      <w:r>
        <w:rPr>
          <w:rFonts w:asciiTheme="minorHAnsi" w:hAnsiTheme="minorHAnsi"/>
          <w:noProof w:val="0"/>
          <w:sz w:val="26"/>
          <w:szCs w:val="26"/>
          <w:rtl/>
        </w:rPr>
        <w:t xml:space="preserve"> (10.7.2019), שני פסקי הדין יכונו להלן בצוותא: "</w:t>
      </w:r>
      <w:r>
        <w:rPr>
          <w:rFonts w:asciiTheme="minorHAnsi" w:hAnsiTheme="minorHAnsi"/>
          <w:b/>
          <w:bCs/>
          <w:noProof w:val="0"/>
          <w:sz w:val="26"/>
          <w:szCs w:val="26"/>
          <w:rtl/>
        </w:rPr>
        <w:t>פסק הדין הפלילי</w:t>
      </w:r>
      <w:r>
        <w:rPr>
          <w:rFonts w:asciiTheme="minorHAnsi" w:hAnsiTheme="minorHAnsi"/>
          <w:noProof w:val="0"/>
          <w:sz w:val="26"/>
          <w:szCs w:val="26"/>
          <w:rtl/>
        </w:rPr>
        <w:t>").</w:t>
      </w:r>
    </w:p>
    <w:p w:rsidR="000D3604" w:rsidRDefault="000D3604" w:rsidP="000D3604">
      <w:pPr>
        <w:pStyle w:val="ab"/>
        <w:numPr>
          <w:ilvl w:val="0"/>
          <w:numId w:val="4"/>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ביום 4.11.2021 הגיש המשיב בקשה למתן פסק דין בערעורים בהסתמך על סעיף 42א לפקודת הראיות [נוסח חדש], התשל"א-1971 (להלן: "</w:t>
      </w:r>
      <w:r>
        <w:rPr>
          <w:rFonts w:asciiTheme="minorHAnsi" w:hAnsiTheme="minorHAnsi"/>
          <w:b/>
          <w:bCs/>
          <w:noProof w:val="0"/>
          <w:sz w:val="26"/>
          <w:szCs w:val="26"/>
          <w:rtl/>
        </w:rPr>
        <w:t>פקודת הראיות</w:t>
      </w:r>
      <w:r>
        <w:rPr>
          <w:rFonts w:asciiTheme="minorHAnsi" w:hAnsiTheme="minorHAnsi"/>
          <w:noProof w:val="0"/>
          <w:sz w:val="26"/>
          <w:szCs w:val="26"/>
          <w:rtl/>
        </w:rPr>
        <w:t xml:space="preserve">"). המשיב ביקש כי הממצאים והמסקנות של פסק הדין </w:t>
      </w:r>
      <w:r>
        <w:rPr>
          <w:rFonts w:asciiTheme="minorHAnsi" w:hAnsiTheme="minorHAnsi"/>
          <w:noProof w:val="0"/>
          <w:sz w:val="26"/>
          <w:szCs w:val="26"/>
          <w:rtl/>
        </w:rPr>
        <w:lastRenderedPageBreak/>
        <w:t>הפלילי יהיו קבילים בערעורים, וכן כי יינתן פסק דין בהסתמך עליהם. המשיב הסכים לוותר על ההפרש שבין החיוב במס בהתאם לצווים שיצאו לבין החיוב במס בהתאם לממצאי פסק הדין הפלילי, על מנת לסיים את המחלוקת ולהביא לייעול ההליך ולחסכון במשאבים.</w:t>
      </w:r>
    </w:p>
    <w:p w:rsidR="000D3604" w:rsidRDefault="000D3604" w:rsidP="000D3604">
      <w:pPr>
        <w:pStyle w:val="ab"/>
        <w:numPr>
          <w:ilvl w:val="0"/>
          <w:numId w:val="4"/>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ביום 9.11.2021, ובהמשך להודעת הבהרה מטעם המבקשים מיום 20.10.2021 במסגרתה הם ציינו כי "</w:t>
      </w:r>
      <w:r>
        <w:rPr>
          <w:rFonts w:asciiTheme="minorHAnsi" w:hAnsiTheme="minorHAnsi"/>
          <w:b/>
          <w:bCs/>
          <w:noProof w:val="0"/>
          <w:sz w:val="26"/>
          <w:szCs w:val="26"/>
          <w:rtl/>
        </w:rPr>
        <w:t>בין הצדדים אין מחלוקת של ממש בנוגע למס ולסכומי המס</w:t>
      </w:r>
      <w:r>
        <w:rPr>
          <w:rFonts w:asciiTheme="minorHAnsi" w:hAnsiTheme="minorHAnsi"/>
          <w:noProof w:val="0"/>
          <w:sz w:val="26"/>
          <w:szCs w:val="26"/>
          <w:rtl/>
        </w:rPr>
        <w:t>", נתתי החלטה במסגרתה התבקשו המבקשים לבוא בדברים עם המשיב על מנת לנסות ולהגיע לפשרה כספית המסיימת את המחלוקת ביניהם. המבקשים התבקשו לעדכן את בית המשפט בנוגע להתקדמות המגעים בין הצדדים לא יאוחר מיום 1.12.2021. עוד קבעתי באותה החלטה, כי אם המשא ומתן בין הצדדים לא יסתייע, על המבקשים להשיב לבקשת המשיב למתן פסק דין בהסתמך על פסק הדין הפלילי, וזאת, עד ליום 2.1.2022.</w:t>
      </w:r>
    </w:p>
    <w:p w:rsidR="000D3604" w:rsidRDefault="000D3604" w:rsidP="000D3604">
      <w:pPr>
        <w:pStyle w:val="ab"/>
        <w:numPr>
          <w:ilvl w:val="0"/>
          <w:numId w:val="4"/>
        </w:numPr>
        <w:spacing w:after="240" w:line="360" w:lineRule="auto"/>
        <w:jc w:val="both"/>
        <w:rPr>
          <w:rFonts w:asciiTheme="minorHAnsi" w:hAnsiTheme="minorHAnsi"/>
          <w:noProof w:val="0"/>
          <w:sz w:val="26"/>
          <w:szCs w:val="26"/>
        </w:rPr>
      </w:pPr>
      <w:r>
        <w:rPr>
          <w:rFonts w:asciiTheme="minorHAnsi" w:hAnsiTheme="minorHAnsi"/>
          <w:noProof w:val="0"/>
          <w:sz w:val="26"/>
          <w:szCs w:val="26"/>
          <w:rtl/>
        </w:rPr>
        <w:lastRenderedPageBreak/>
        <w:t>משלא נמסר עדכון על סיום המחלוקת בפשרה, נתתי החלטה נוספת ביום 7.12.2021, במסגרתה קבעתי כי אם לא תימסר תשובת המבקשים במועדה, תינתן החלטה בבקשת המשיב למתן פסק דין על יסוד האמור בה. על אף זאת, המבקשים לא הגישו תשובה לבקשת המשיב למתן פסק דין.</w:t>
      </w:r>
    </w:p>
    <w:p w:rsidR="000D3604" w:rsidRDefault="000D3604" w:rsidP="000D3604">
      <w:pPr>
        <w:pStyle w:val="ab"/>
        <w:numPr>
          <w:ilvl w:val="0"/>
          <w:numId w:val="4"/>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ביום 5.1.2022 הגישו המבקשים "בקשה והודעה", במסגרתה ביקשו את תיקון נימוקי השומה באופן שיכירו בחובות אבודים שנגרמו להם לכאורה, בסכומים העולים על מיליון ש"ח (להלן: "</w:t>
      </w:r>
      <w:r>
        <w:rPr>
          <w:rFonts w:asciiTheme="minorHAnsi" w:hAnsiTheme="minorHAnsi"/>
          <w:b/>
          <w:bCs/>
          <w:noProof w:val="0"/>
          <w:sz w:val="26"/>
          <w:szCs w:val="26"/>
          <w:rtl/>
        </w:rPr>
        <w:t>החובות האבודים</w:t>
      </w:r>
      <w:r>
        <w:rPr>
          <w:rFonts w:asciiTheme="minorHAnsi" w:hAnsiTheme="minorHAnsi"/>
          <w:noProof w:val="0"/>
          <w:sz w:val="26"/>
          <w:szCs w:val="26"/>
          <w:rtl/>
        </w:rPr>
        <w:t xml:space="preserve">"). זאת, תוך פירוט לקוני ומינימאלי של אותם חובות אבודים נטענים וללא בדל הוכחה או ראיה לטענותיהם. במסגרת אותה בקשה, הביאו המבקשים את עמדת המשיב לבקשתם, אשר לפיה, משעה שנקבע כממצא במסגרת ההליך הפלילי כי המבקשים לא ניהלו ספרים בשנים הרלוונטיות ונוכח לשון </w:t>
      </w:r>
      <w:r>
        <w:rPr>
          <w:rFonts w:asciiTheme="minorHAnsi" w:hAnsiTheme="minorHAnsi"/>
          <w:noProof w:val="0"/>
          <w:sz w:val="26"/>
          <w:szCs w:val="26"/>
          <w:rtl/>
        </w:rPr>
        <w:lastRenderedPageBreak/>
        <w:t>סעיף 33(ג) לפקודה, ממילא לא ניתן להתיר קיזוז חובות אבודים ביחס לאותן השנים. המבקשים לא התייחסו לבקשת המשיב למתן פסק דין.</w:t>
      </w:r>
    </w:p>
    <w:p w:rsidR="000D3604" w:rsidRDefault="000D3604" w:rsidP="000D3604">
      <w:pPr>
        <w:pStyle w:val="ab"/>
        <w:numPr>
          <w:ilvl w:val="0"/>
          <w:numId w:val="4"/>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ביום 19.1.2022, ולאחר שהמבקשים לא הגישו את תשובתם לבקשת המשיב למתן פסק דין (למעלה משבועיים מהמועד האחרון לכך), קיבלתי את בקשת המשיב וקבעתי כי הממצאים והמסקנות של פסק הדין הפלילי יהוו ראיות קבילות בהליך. על בסיס הראיות הללו חויבו המבקשים במס, בהתאם לסכום בו הורשעו בפסק הדין הפלילי (להלן: "</w:t>
      </w:r>
      <w:r>
        <w:rPr>
          <w:rFonts w:asciiTheme="minorHAnsi" w:hAnsiTheme="minorHAnsi"/>
          <w:b/>
          <w:bCs/>
          <w:noProof w:val="0"/>
          <w:sz w:val="26"/>
          <w:szCs w:val="26"/>
          <w:rtl/>
        </w:rPr>
        <w:t>פסק הדין</w:t>
      </w:r>
      <w:r>
        <w:rPr>
          <w:rFonts w:asciiTheme="minorHAnsi" w:hAnsiTheme="minorHAnsi"/>
          <w:noProof w:val="0"/>
          <w:sz w:val="26"/>
          <w:szCs w:val="26"/>
          <w:rtl/>
        </w:rPr>
        <w:t>"). במסגרת פסק הדין, דחיתי את טענות המבקשים ביחס לחובות האבודים.</w:t>
      </w:r>
    </w:p>
    <w:p w:rsidR="000D3604" w:rsidRDefault="000D3604" w:rsidP="000D3604">
      <w:pPr>
        <w:pStyle w:val="ab"/>
        <w:numPr>
          <w:ilvl w:val="0"/>
          <w:numId w:val="4"/>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יצוין, כי המבקשים היו מיוצגים לכל אורך הערעורים דנן וכן כי התקיימו שני דיוני קדם משפט בערעורים (שלמאוחר מביניהם המבקשים וב"כ כוחם לא טרחו להופיע).</w:t>
      </w:r>
    </w:p>
    <w:p w:rsidR="000D3604" w:rsidRDefault="000D3604" w:rsidP="000D3604">
      <w:pPr>
        <w:pStyle w:val="ab"/>
        <w:numPr>
          <w:ilvl w:val="0"/>
          <w:numId w:val="4"/>
        </w:numPr>
        <w:spacing w:after="240" w:line="360" w:lineRule="auto"/>
        <w:jc w:val="both"/>
        <w:rPr>
          <w:rFonts w:asciiTheme="minorHAnsi" w:hAnsiTheme="minorHAnsi"/>
          <w:noProof w:val="0"/>
          <w:sz w:val="26"/>
          <w:szCs w:val="26"/>
        </w:rPr>
      </w:pPr>
      <w:r>
        <w:rPr>
          <w:rFonts w:asciiTheme="minorHAnsi" w:hAnsiTheme="minorHAnsi"/>
          <w:noProof w:val="0"/>
          <w:sz w:val="26"/>
          <w:szCs w:val="26"/>
          <w:rtl/>
        </w:rPr>
        <w:lastRenderedPageBreak/>
        <w:t>המערערים מבקשים לבטל את פסק הדין. לטענתם, יש לבטל את פסק הדין מן הצדק. המבקשים טוענים, כי המשיב לא פעל בתיק כמתחייב והגיש בקשה חד צדדית, שעיקרה התבססות על ההליך הפלילי בלבד. בהליך הפלילי לא הייתה כל התייחסות לסוגיית החובות האבודים. לטענת המבקשים, סיכויי הערעור גבוהים ושיקולי מס אמת תומכים בבחינת טענתם לחובות אבודים.</w:t>
      </w:r>
    </w:p>
    <w:p w:rsidR="000D3604" w:rsidRDefault="000D3604" w:rsidP="000D3604">
      <w:pPr>
        <w:pStyle w:val="ab"/>
        <w:numPr>
          <w:ilvl w:val="0"/>
          <w:numId w:val="4"/>
        </w:numPr>
        <w:spacing w:after="240" w:line="360" w:lineRule="auto"/>
        <w:jc w:val="both"/>
        <w:rPr>
          <w:rFonts w:asciiTheme="minorHAnsi" w:hAnsiTheme="minorHAnsi"/>
          <w:noProof w:val="0"/>
          <w:sz w:val="26"/>
          <w:szCs w:val="26"/>
        </w:rPr>
      </w:pPr>
      <w:r>
        <w:rPr>
          <w:rFonts w:asciiTheme="minorHAnsi" w:hAnsiTheme="minorHAnsi"/>
          <w:noProof w:val="0"/>
          <w:sz w:val="26"/>
          <w:szCs w:val="26"/>
          <w:rtl/>
        </w:rPr>
        <w:t>מנגד טוען המשיב, כי פסק הדין לא ניתן במעמד צד אחד, אלא על בסיס בקשה לפי סעיף 42א לפקודת הראיות, אשר החלטה בה איננה דורשת התייצבות הצדדים. ביסודו, מתבסס פסק הדין על ראיות מספיקות לתמוך בו, והוא איננו תוצאה של אי-התייצבות לדיון. מכל מקום, ממילא לא ניתן להכיר בחובות אבודים מקום בו הנישום לא ניהל ספרים.</w:t>
      </w:r>
    </w:p>
    <w:p w:rsidR="000D3604" w:rsidRDefault="000D3604" w:rsidP="000D3604">
      <w:pPr>
        <w:spacing w:after="240" w:line="360" w:lineRule="auto"/>
        <w:jc w:val="both"/>
        <w:rPr>
          <w:rFonts w:asciiTheme="minorHAnsi" w:hAnsiTheme="minorHAnsi"/>
          <w:sz w:val="28"/>
          <w:szCs w:val="28"/>
          <w:u w:val="single"/>
        </w:rPr>
      </w:pPr>
      <w:r>
        <w:rPr>
          <w:rFonts w:asciiTheme="minorHAnsi" w:hAnsiTheme="minorHAnsi"/>
          <w:b/>
          <w:bCs/>
          <w:sz w:val="28"/>
          <w:szCs w:val="28"/>
          <w:u w:val="single"/>
          <w:rtl/>
        </w:rPr>
        <w:t>דיון</w:t>
      </w:r>
      <w:r>
        <w:rPr>
          <w:rFonts w:asciiTheme="minorHAnsi" w:hAnsiTheme="minorHAnsi"/>
          <w:sz w:val="28"/>
          <w:szCs w:val="28"/>
          <w:u w:val="single"/>
          <w:rtl/>
        </w:rPr>
        <w:t xml:space="preserve"> </w:t>
      </w:r>
      <w:r>
        <w:rPr>
          <w:rFonts w:asciiTheme="minorHAnsi" w:hAnsiTheme="minorHAnsi"/>
          <w:b/>
          <w:bCs/>
          <w:sz w:val="28"/>
          <w:szCs w:val="28"/>
          <w:u w:val="single"/>
          <w:rtl/>
        </w:rPr>
        <w:t>והכרעה</w:t>
      </w:r>
    </w:p>
    <w:p w:rsidR="000D3604" w:rsidRDefault="000D3604" w:rsidP="000D3604">
      <w:pPr>
        <w:numPr>
          <w:ilvl w:val="0"/>
          <w:numId w:val="4"/>
        </w:numPr>
        <w:spacing w:after="240" w:line="360" w:lineRule="auto"/>
        <w:jc w:val="both"/>
        <w:rPr>
          <w:rFonts w:asciiTheme="minorHAnsi" w:hAnsiTheme="minorHAnsi"/>
          <w:sz w:val="26"/>
          <w:szCs w:val="26"/>
        </w:rPr>
      </w:pPr>
      <w:r>
        <w:rPr>
          <w:rFonts w:asciiTheme="minorHAnsi" w:hAnsiTheme="minorHAnsi"/>
          <w:sz w:val="26"/>
          <w:szCs w:val="26"/>
          <w:rtl/>
        </w:rPr>
        <w:lastRenderedPageBreak/>
        <w:t>לאחר שעיינתי היטב בבקשה, אני סבורה כי יש לדחות אותה ממספר טעמים.</w:t>
      </w:r>
    </w:p>
    <w:p w:rsidR="000D3604" w:rsidRDefault="000D3604" w:rsidP="000D3604">
      <w:pPr>
        <w:numPr>
          <w:ilvl w:val="0"/>
          <w:numId w:val="4"/>
        </w:numPr>
        <w:spacing w:after="240" w:line="360" w:lineRule="auto"/>
        <w:jc w:val="both"/>
        <w:rPr>
          <w:rFonts w:asciiTheme="minorHAnsi" w:hAnsiTheme="minorHAnsi"/>
          <w:sz w:val="26"/>
          <w:szCs w:val="26"/>
        </w:rPr>
      </w:pPr>
      <w:r>
        <w:rPr>
          <w:rFonts w:asciiTheme="minorHAnsi" w:hAnsiTheme="minorHAnsi"/>
          <w:b/>
          <w:bCs/>
          <w:sz w:val="26"/>
          <w:szCs w:val="26"/>
          <w:rtl/>
        </w:rPr>
        <w:t>ראשית</w:t>
      </w:r>
      <w:r>
        <w:rPr>
          <w:rFonts w:asciiTheme="minorHAnsi" w:hAnsiTheme="minorHAnsi"/>
          <w:sz w:val="26"/>
          <w:szCs w:val="26"/>
          <w:rtl/>
        </w:rPr>
        <w:t>, מבחינה דיונית, פסק הדין ניתן בהתבסס על ראיות וממצאים שנקבעו בפסק הדין הפלילי, ואף לאחר שהוגשו נימוקי ערעור מטעם המערערים. בענייננו, בנימוקי הערעור לא היה די על מנת לסתור את ממצאי פסק הדין הפלילי, וממילא לא התבקשה ובוודאי שלא ניתנה רשות לסתור את אותם הממצאים, כך שפסק הדין לא ניתן בהיעדר התייצבות, אלא על בסיס ראיות איתנות ולגופו של עניין. גם טענת המבקשים להכרה בחובות אבודים נדחתה לגופה. בהתאם, אני סבורה כי האכסניה הראויה לבקשה דנן היא ערעור על פסק הדין, ולא בקשה לביטולו.</w:t>
      </w:r>
    </w:p>
    <w:p w:rsidR="000D3604" w:rsidRDefault="000D3604" w:rsidP="000D3604">
      <w:pPr>
        <w:numPr>
          <w:ilvl w:val="0"/>
          <w:numId w:val="4"/>
        </w:numPr>
        <w:spacing w:after="240" w:line="360" w:lineRule="auto"/>
        <w:jc w:val="both"/>
        <w:rPr>
          <w:rFonts w:asciiTheme="minorHAnsi" w:hAnsiTheme="minorHAnsi"/>
          <w:sz w:val="26"/>
          <w:szCs w:val="26"/>
        </w:rPr>
      </w:pPr>
      <w:r>
        <w:rPr>
          <w:rFonts w:asciiTheme="minorHAnsi" w:hAnsiTheme="minorHAnsi"/>
          <w:b/>
          <w:bCs/>
          <w:sz w:val="26"/>
          <w:szCs w:val="26"/>
          <w:rtl/>
        </w:rPr>
        <w:t>שנית</w:t>
      </w:r>
      <w:r>
        <w:rPr>
          <w:rFonts w:asciiTheme="minorHAnsi" w:hAnsiTheme="minorHAnsi"/>
          <w:sz w:val="26"/>
          <w:szCs w:val="26"/>
          <w:rtl/>
        </w:rPr>
        <w:t xml:space="preserve">, ולגופו של עניין, גם במסגרת בקשה זו, לא עתרו המבקשים ולא סיפקו כל טענה לסתור את ממצאי פסק הדין הפלילי, כך שהממצאים </w:t>
      </w:r>
      <w:r>
        <w:rPr>
          <w:rFonts w:asciiTheme="minorHAnsi" w:hAnsiTheme="minorHAnsi"/>
          <w:sz w:val="26"/>
          <w:szCs w:val="26"/>
          <w:rtl/>
        </w:rPr>
        <w:lastRenderedPageBreak/>
        <w:t xml:space="preserve">בעינם עומדים ולא חל כל שינוי נסיבות שיש בו כדי לשנות ממסקנתי. יוזכר, כי אחת מתכליות סעיף 42א לפקודת הראיות היא יעילות דיונית – חסכון במשאבים ובזמן שיפוטי על ידי ייבוא הממצאים והמסקנות מההליך הפלילי, מבלי לבחון אותם מחדש לגופם (ע"א 71/18 </w:t>
      </w:r>
      <w:r>
        <w:rPr>
          <w:rFonts w:asciiTheme="minorHAnsi" w:hAnsiTheme="minorHAnsi"/>
          <w:b/>
          <w:bCs/>
          <w:sz w:val="26"/>
          <w:szCs w:val="26"/>
          <w:rtl/>
        </w:rPr>
        <w:t>הרשות הפלסטינית נ' יורשי המנוחה שרון בן שלום ז"ל</w:t>
      </w:r>
      <w:r>
        <w:rPr>
          <w:rFonts w:asciiTheme="minorHAnsi" w:hAnsiTheme="minorHAnsi"/>
          <w:sz w:val="26"/>
          <w:szCs w:val="26"/>
          <w:rtl/>
        </w:rPr>
        <w:t>, פס' 56 והאסמכתאות שם (10.3.2021)). בנסיבות ענייננו, אין מקום לבטל את החיוב בהתבסס על ממצאי פסק הדין הפלילי.</w:t>
      </w:r>
    </w:p>
    <w:p w:rsidR="000D3604" w:rsidRDefault="000D3604" w:rsidP="00BD6E82">
      <w:pPr>
        <w:numPr>
          <w:ilvl w:val="0"/>
          <w:numId w:val="4"/>
        </w:numPr>
        <w:spacing w:after="240" w:line="360" w:lineRule="auto"/>
        <w:jc w:val="both"/>
        <w:rPr>
          <w:rFonts w:asciiTheme="minorHAnsi" w:hAnsiTheme="minorHAnsi"/>
          <w:sz w:val="26"/>
          <w:szCs w:val="26"/>
        </w:rPr>
      </w:pPr>
      <w:r>
        <w:rPr>
          <w:rFonts w:asciiTheme="minorHAnsi" w:hAnsiTheme="minorHAnsi"/>
          <w:b/>
          <w:bCs/>
          <w:sz w:val="26"/>
          <w:szCs w:val="26"/>
          <w:rtl/>
        </w:rPr>
        <w:t>שלישית</w:t>
      </w:r>
      <w:r>
        <w:rPr>
          <w:rFonts w:asciiTheme="minorHAnsi" w:hAnsiTheme="minorHAnsi"/>
          <w:sz w:val="26"/>
          <w:szCs w:val="26"/>
          <w:rtl/>
        </w:rPr>
        <w:t>, המבקשים מבקשים לדון בערעורם על מנת שיוכרו להם חובות אבודים. מעבר לכך שהטענה לחובות אבודים נטענה בעלמא, ללא בדל ראיה או אסמכתא, כידוע, סעיף 33(ג) לפקודה קובע כי "</w:t>
      </w:r>
      <w:r>
        <w:rPr>
          <w:rFonts w:asciiTheme="minorHAnsi" w:hAnsiTheme="minorHAnsi"/>
          <w:b/>
          <w:bCs/>
          <w:sz w:val="26"/>
          <w:szCs w:val="26"/>
          <w:rtl/>
        </w:rPr>
        <w:t xml:space="preserve">נישום החייב בניהול פנקסי חשבונות בשנת מס פלונית ולא ניהלם או שניהלם אך לא ביסס את הדו"ח שלו עליהם, לא יותרו לו באותה שנה ניכויים </w:t>
      </w:r>
      <w:r>
        <w:rPr>
          <w:rFonts w:asciiTheme="minorHAnsi" w:hAnsiTheme="minorHAnsi"/>
          <w:b/>
          <w:bCs/>
          <w:sz w:val="26"/>
          <w:szCs w:val="26"/>
          <w:rtl/>
        </w:rPr>
        <w:lastRenderedPageBreak/>
        <w:t>וקיזוזים בשל פחת, ריבית, חובות אבודים והפסדים, ולא יוכר לו הפסד לאותה שנה"</w:t>
      </w:r>
      <w:r>
        <w:rPr>
          <w:rFonts w:asciiTheme="minorHAnsi" w:hAnsiTheme="minorHAnsi"/>
          <w:sz w:val="26"/>
          <w:szCs w:val="26"/>
          <w:rtl/>
        </w:rPr>
        <w:t xml:space="preserve">. במסגרת פסק הדין הפלילי נקבע כממצא כי המבקשים לא ניהלו ספרים בשנים הרלוונטיות. משכך, לא ניתן להכיר להם בחובות אבודים לאותן השנים (ע"פ 5529/12 </w:t>
      </w:r>
      <w:r>
        <w:rPr>
          <w:rFonts w:asciiTheme="minorHAnsi" w:hAnsiTheme="minorHAnsi"/>
          <w:b/>
          <w:bCs/>
          <w:sz w:val="26"/>
          <w:szCs w:val="26"/>
          <w:rtl/>
        </w:rPr>
        <w:t>אוהב ציון נ' מדינת ישראל</w:t>
      </w:r>
      <w:r>
        <w:rPr>
          <w:rFonts w:asciiTheme="minorHAnsi" w:hAnsiTheme="minorHAnsi"/>
          <w:sz w:val="26"/>
          <w:szCs w:val="26"/>
          <w:rtl/>
        </w:rPr>
        <w:t xml:space="preserve">, פס' 19 – 20 לפסק דינו של כב' השופט דנציגר (9.11.2014); ע"מ (מחוזי תל אביב-יפו) 1337-04-13 </w:t>
      </w:r>
      <w:r>
        <w:rPr>
          <w:rFonts w:asciiTheme="minorHAnsi" w:hAnsiTheme="minorHAnsi"/>
          <w:b/>
          <w:bCs/>
          <w:sz w:val="26"/>
          <w:szCs w:val="26"/>
          <w:rtl/>
        </w:rPr>
        <w:t>מרסיאנו נ' פקיד שומה – היחידה הארצית לשומה</w:t>
      </w:r>
      <w:r>
        <w:rPr>
          <w:rFonts w:asciiTheme="minorHAnsi" w:hAnsiTheme="minorHAnsi"/>
          <w:sz w:val="26"/>
          <w:szCs w:val="26"/>
          <w:rtl/>
        </w:rPr>
        <w:t xml:space="preserve">, פס' 58 – 59 (4.7.2019)). אין מקום לנהל הליך שלם תוך בזבוז משאבים ניכרים וזמן שיפוטי יקר על טענות שלא ניתן לקבלן, </w:t>
      </w:r>
      <w:r w:rsidR="00BD6E82">
        <w:rPr>
          <w:rFonts w:asciiTheme="minorHAnsi" w:hAnsiTheme="minorHAnsi" w:hint="cs"/>
          <w:sz w:val="26"/>
          <w:szCs w:val="26"/>
          <w:rtl/>
        </w:rPr>
        <w:t xml:space="preserve">בפרט </w:t>
      </w:r>
      <w:r>
        <w:rPr>
          <w:rFonts w:asciiTheme="minorHAnsi" w:hAnsiTheme="minorHAnsi"/>
          <w:sz w:val="26"/>
          <w:szCs w:val="26"/>
          <w:rtl/>
        </w:rPr>
        <w:t>בסיטואציה בה לא סופקה ולו ראשית ראיה לאותם חובות אבודים נטענים.</w:t>
      </w:r>
    </w:p>
    <w:p w:rsidR="000D3604" w:rsidRDefault="000D3604" w:rsidP="000D3604">
      <w:pPr>
        <w:pStyle w:val="ab"/>
        <w:numPr>
          <w:ilvl w:val="0"/>
          <w:numId w:val="4"/>
        </w:numPr>
        <w:spacing w:before="320" w:after="240" w:line="360" w:lineRule="auto"/>
        <w:jc w:val="both"/>
        <w:rPr>
          <w:rFonts w:asciiTheme="minorHAnsi" w:hAnsiTheme="minorHAnsi"/>
          <w:noProof w:val="0"/>
          <w:sz w:val="26"/>
          <w:szCs w:val="26"/>
        </w:rPr>
      </w:pPr>
      <w:r>
        <w:rPr>
          <w:rFonts w:asciiTheme="minorHAnsi" w:hAnsiTheme="minorHAnsi"/>
          <w:noProof w:val="0"/>
          <w:sz w:val="26"/>
          <w:szCs w:val="26"/>
          <w:rtl/>
        </w:rPr>
        <w:t xml:space="preserve">סיכומם של דברים, הבקשה נדחית. המערערים יישאו ביחד ולחוד בהוצאות המשיב </w:t>
      </w:r>
      <w:r>
        <w:rPr>
          <w:rFonts w:asciiTheme="minorHAnsi" w:hAnsiTheme="minorHAnsi" w:hint="cs"/>
          <w:noProof w:val="0"/>
          <w:sz w:val="26"/>
          <w:szCs w:val="26"/>
          <w:rtl/>
        </w:rPr>
        <w:t xml:space="preserve">בגין בקשה זו </w:t>
      </w:r>
      <w:r>
        <w:rPr>
          <w:rFonts w:asciiTheme="minorHAnsi" w:hAnsiTheme="minorHAnsi"/>
          <w:noProof w:val="0"/>
          <w:sz w:val="26"/>
          <w:szCs w:val="26"/>
          <w:rtl/>
        </w:rPr>
        <w:t>בסך של 1</w:t>
      </w:r>
      <w:r>
        <w:rPr>
          <w:rFonts w:asciiTheme="minorHAnsi" w:hAnsiTheme="minorHAnsi" w:hint="cs"/>
          <w:noProof w:val="0"/>
          <w:sz w:val="26"/>
          <w:szCs w:val="26"/>
          <w:rtl/>
        </w:rPr>
        <w:t>0</w:t>
      </w:r>
      <w:r>
        <w:rPr>
          <w:rFonts w:asciiTheme="minorHAnsi" w:hAnsiTheme="minorHAnsi"/>
          <w:noProof w:val="0"/>
          <w:sz w:val="26"/>
          <w:szCs w:val="26"/>
          <w:rtl/>
        </w:rPr>
        <w:t>,000 ש"ח.</w:t>
      </w:r>
    </w:p>
    <w:p w:rsidR="0002177A" w:rsidRPr="000D3604" w:rsidRDefault="0002177A" w:rsidP="00420E12">
      <w:pPr>
        <w:spacing w:line="360" w:lineRule="auto"/>
        <w:jc w:val="both"/>
        <w:rPr>
          <w:rFonts w:ascii="Arial" w:hAnsi="Arial"/>
          <w:rtl/>
        </w:rPr>
      </w:pPr>
    </w:p>
    <w:p w:rsidR="0002177A" w:rsidRDefault="0002177A" w:rsidP="00420E12">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1424607196"/>
          <w:text w:multiLine="1"/>
        </w:sdtPr>
        <w:sdtEndPr/>
        <w:sdtContent>
          <w:r>
            <w:rPr>
              <w:rFonts w:ascii="Arial" w:hAnsi="Arial"/>
              <w:rtl/>
            </w:rPr>
            <w:t>ה' ניסן תשפ"ב</w:t>
          </w:r>
        </w:sdtContent>
      </w:sdt>
      <w:r>
        <w:rPr>
          <w:rFonts w:ascii="Arial" w:hAnsi="Arial"/>
          <w:rtl/>
        </w:rPr>
        <w:t xml:space="preserve">, </w:t>
      </w:r>
      <w:sdt>
        <w:sdtPr>
          <w:rPr>
            <w:rtl/>
          </w:rPr>
          <w:alias w:val="1456"/>
          <w:tag w:val="1456"/>
          <w:id w:val="-1331525173"/>
          <w:text w:multiLine="1"/>
        </w:sdtPr>
        <w:sdtEndPr/>
        <w:sdtContent>
          <w:r>
            <w:rPr>
              <w:rFonts w:ascii="Arial" w:hAnsi="Arial"/>
              <w:rtl/>
            </w:rPr>
            <w:t>06 אפריל 2022</w:t>
          </w:r>
        </w:sdtContent>
      </w:sdt>
      <w:r>
        <w:rPr>
          <w:rFonts w:ascii="Arial" w:hAnsi="Arial"/>
          <w:rtl/>
        </w:rPr>
        <w:t>, בהעדר הצדדים.</w:t>
      </w:r>
    </w:p>
    <w:p w:rsidR="0002177A" w:rsidRDefault="00375F47" w:rsidP="009C1537">
      <w:pPr>
        <w:tabs>
          <w:tab w:val="left" w:pos="2553"/>
        </w:tabs>
        <w:spacing w:line="360" w:lineRule="auto"/>
        <w:jc w:val="center"/>
        <w:rPr>
          <w:rtl/>
        </w:rPr>
      </w:pPr>
      <w:r>
        <w:rPr>
          <w:rFonts w:hint="cs"/>
          <w:rtl/>
        </w:rPr>
        <w:tab/>
      </w:r>
      <w:sdt>
        <w:sdtPr>
          <w:rPr>
            <w:rFonts w:hint="cs"/>
            <w:rtl/>
          </w:rPr>
          <w:alias w:val="2045"/>
          <w:tag w:val="2045"/>
          <w:id w:val="1701280785"/>
          <w:placeholder>
            <w:docPart w:val="647C5F5A17CE48D5BFFBFC7D0687C4D8"/>
          </w:placeholder>
          <w:showingPlcHdr/>
          <w:text w:multiLine="1"/>
        </w:sdtPr>
        <w:sdtEndPr/>
        <w:sdtContent>
          <w:r w:rsidR="009C1537">
            <w:rPr>
              <w:rStyle w:val="aa"/>
              <w:rFonts w:hint="cs"/>
              <w:rtl/>
            </w:rPr>
            <w:t xml:space="preserve">    </w:t>
          </w:r>
        </w:sdtContent>
      </w:sdt>
      <w:r w:rsidR="009C1537">
        <w:rPr>
          <w:rtl/>
        </w:rPr>
        <w:t xml:space="preserve"> </w:t>
      </w: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dt>
      <w:sdtPr>
        <w:rPr>
          <w:rtl/>
        </w:rPr>
        <w:alias w:val="MergeField"/>
        <w:tag w:val="1237"/>
        <w:id w:val="-837232227"/>
      </w:sdtPr>
      <w:sdtEndPr/>
      <w:sdtContent>
        <w:p w:rsidR="0054447A" w:rsidRDefault="00B463F7">
          <w:r>
            <w:rPr>
              <w:noProof/>
            </w:rPr>
            <w:drawing>
              <wp:inline distT="0" distB="0" distL="0" distR="0" wp14:editId="50D07946">
                <wp:extent cx="1371600" cy="7715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71600" cy="771525"/>
                        </a:xfrm>
                        <a:prstGeom prst="rect">
                          <a:avLst/>
                        </a:prstGeom>
                      </pic:spPr>
                    </pic:pic>
                  </a:graphicData>
                </a:graphic>
              </wp:inline>
            </w:drawing>
          </w:r>
        </w:p>
      </w:sdtContent>
    </w:sdt>
    <w:sectPr w:rsidR="0054447A" w:rsidSect="00E67EFF">
      <w:headerReference w:type="default" r:id="rId9"/>
      <w:footerReference w:type="even" r:id="rId10"/>
      <w:footerReference w:type="default" r:id="rId11"/>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3F7" w:rsidRDefault="00B463F7">
      <w:r>
        <w:separator/>
      </w:r>
    </w:p>
  </w:endnote>
  <w:endnote w:type="continuationSeparator" w:id="0">
    <w:p w:rsidR="00B463F7" w:rsidRDefault="00B46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altName w:val="Malgun Gothic Semilight"/>
    <w:charset w:val="00"/>
    <w:family w:val="swiss"/>
    <w:pitch w:val="variable"/>
    <w:sig w:usb0="00000000" w:usb1="00000000" w:usb2="00000000" w:usb3="00000000" w:csb0="00000021" w:csb1="00000000"/>
  </w:font>
  <w:font w:name="Narkisim">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altName w:val="Times New Roman"/>
    <w:charset w:val="00"/>
    <w:family w:val="swiss"/>
    <w:pitch w:val="variable"/>
    <w:sig w:usb0="00000000"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CE68C8">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4"/>
      <w:jc w:val="center"/>
    </w:pPr>
    <w:r>
      <w:rPr>
        <w:rtl/>
      </w:rPr>
      <w:t>עמוד</w:t>
    </w:r>
    <w:r>
      <w:t xml:space="preserve"> </w:t>
    </w:r>
    <w:r w:rsidR="00CE68C8">
      <w:fldChar w:fldCharType="begin"/>
    </w:r>
    <w:r>
      <w:instrText xml:space="preserve"> PAGE </w:instrText>
    </w:r>
    <w:r w:rsidR="00CE68C8">
      <w:fldChar w:fldCharType="separate"/>
    </w:r>
    <w:r w:rsidR="00183443">
      <w:rPr>
        <w:noProof/>
        <w:rtl/>
      </w:rPr>
      <w:t>5</w:t>
    </w:r>
    <w:r w:rsidR="00CE68C8">
      <w:fldChar w:fldCharType="end"/>
    </w:r>
    <w:r>
      <w:t xml:space="preserve"> </w:t>
    </w:r>
    <w:r>
      <w:rPr>
        <w:rtl/>
      </w:rPr>
      <w:t>מתוך</w:t>
    </w:r>
    <w:r>
      <w:t xml:space="preserve"> </w:t>
    </w:r>
    <w:r w:rsidR="00CE68C8">
      <w:fldChar w:fldCharType="begin"/>
    </w:r>
    <w:r>
      <w:instrText xml:space="preserve"> NUMPAGES </w:instrText>
    </w:r>
    <w:r w:rsidR="00CE68C8">
      <w:fldChar w:fldCharType="separate"/>
    </w:r>
    <w:r w:rsidR="00183443">
      <w:rPr>
        <w:noProof/>
        <w:rtl/>
      </w:rPr>
      <w:t>5</w:t>
    </w:r>
    <w:r w:rsidR="00CE68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3F7" w:rsidRDefault="00B463F7">
      <w:r>
        <w:separator/>
      </w:r>
    </w:p>
  </w:footnote>
  <w:footnote w:type="continuationSeparator" w:id="0">
    <w:p w:rsidR="00B463F7" w:rsidRDefault="00B46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9B3B23">
      <w:rPr>
        <w:rFonts w:cs="FrankRuehl"/>
        <w:noProof/>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771"/>
      <w:gridCol w:w="1023"/>
      <w:gridCol w:w="3513"/>
    </w:tblGrid>
    <w:tr w:rsidR="0002177A">
      <w:trPr>
        <w:trHeight w:hRule="exact" w:val="418"/>
        <w:jc w:val="center"/>
      </w:trPr>
      <w:tc>
        <w:tcPr>
          <w:tcW w:w="8721" w:type="dxa"/>
          <w:gridSpan w:val="3"/>
        </w:tcPr>
        <w:p w:rsidR="0002177A" w:rsidRPr="00420E12" w:rsidRDefault="008F1ABF">
          <w:pPr>
            <w:pStyle w:val="a3"/>
            <w:jc w:val="center"/>
            <w:rPr>
              <w:rFonts w:ascii="Tahoma" w:hAnsi="Tahoma"/>
              <w:b/>
              <w:bCs/>
              <w:color w:val="000080"/>
              <w:sz w:val="32"/>
              <w:szCs w:val="32"/>
              <w:rtl/>
            </w:rPr>
          </w:pPr>
          <w:r w:rsidRPr="00420E12">
            <w:rPr>
              <w:rFonts w:ascii="Tahoma" w:hAnsi="Tahoma" w:hint="cs"/>
              <w:b/>
              <w:bCs/>
              <w:color w:val="000080"/>
              <w:sz w:val="32"/>
              <w:szCs w:val="32"/>
              <w:rtl/>
            </w:rPr>
            <w:t>בית המשפט המחוזי בתל אביב - יפו</w:t>
          </w:r>
        </w:p>
      </w:tc>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1081642394"/>
          <w:text/>
        </w:sdtPr>
        <w:sdtEndPr/>
        <w:sdtContent>
          <w:tc>
            <w:tcPr>
              <w:tcW w:w="3672" w:type="dxa"/>
            </w:tcPr>
            <w:p w:rsidR="0002177A" w:rsidRDefault="00375F47">
              <w:pPr>
                <w:pStyle w:val="a3"/>
                <w:jc w:val="center"/>
                <w:rPr>
                  <w:b/>
                  <w:bCs/>
                  <w:sz w:val="26"/>
                  <w:szCs w:val="26"/>
                  <w:rtl/>
                </w:rPr>
              </w:pPr>
              <w:r>
                <w:rPr>
                  <w:b/>
                  <w:bCs/>
                  <w:sz w:val="26"/>
                  <w:szCs w:val="26"/>
                  <w:rtl/>
                </w:rPr>
                <w:t>06 אפריל 2022</w:t>
              </w:r>
            </w:p>
          </w:tc>
        </w:sdtContent>
      </w:sdt>
    </w:tr>
    <w:tr w:rsidR="0002177A">
      <w:trPr>
        <w:trHeight w:val="337"/>
        <w:jc w:val="center"/>
      </w:trPr>
      <w:tc>
        <w:tcPr>
          <w:tcW w:w="8721" w:type="dxa"/>
          <w:gridSpan w:val="3"/>
        </w:tcPr>
        <w:p w:rsidR="0002177A" w:rsidRDefault="00183443">
          <w:pPr>
            <w:rPr>
              <w:b/>
              <w:bCs/>
              <w:sz w:val="26"/>
              <w:szCs w:val="26"/>
              <w:rtl/>
            </w:rPr>
          </w:pPr>
          <w:sdt>
            <w:sdtPr>
              <w:rPr>
                <w:rtl/>
              </w:rPr>
              <w:alias w:val="1170"/>
              <w:tag w:val="1170"/>
              <w:id w:val="-1592229859"/>
              <w:text w:multiLine="1"/>
            </w:sdtPr>
            <w:sdtEndPr/>
            <w:sdtContent>
              <w:r w:rsidR="00E67EFF">
                <w:rPr>
                  <w:b/>
                  <w:bCs/>
                  <w:sz w:val="26"/>
                  <w:szCs w:val="26"/>
                  <w:rtl/>
                </w:rPr>
                <w:t>ע"מ</w:t>
              </w:r>
            </w:sdtContent>
          </w:sdt>
          <w:r w:rsidR="00375F47">
            <w:rPr>
              <w:rFonts w:hint="cs"/>
              <w:b/>
              <w:bCs/>
              <w:sz w:val="26"/>
              <w:szCs w:val="26"/>
              <w:rtl/>
            </w:rPr>
            <w:t xml:space="preserve"> </w:t>
          </w:r>
          <w:sdt>
            <w:sdtPr>
              <w:rPr>
                <w:rtl/>
              </w:rPr>
              <w:alias w:val="1171"/>
              <w:tag w:val="1171"/>
              <w:id w:val="739214549"/>
              <w:text w:multiLine="1"/>
            </w:sdtPr>
            <w:sdtEndPr/>
            <w:sdtContent>
              <w:r w:rsidR="00E67EFF">
                <w:rPr>
                  <w:b/>
                  <w:bCs/>
                  <w:sz w:val="26"/>
                  <w:szCs w:val="26"/>
                  <w:rtl/>
                </w:rPr>
                <w:t>42751-06-20</w:t>
              </w:r>
            </w:sdtContent>
          </w:sdt>
          <w:r w:rsidR="00375F47">
            <w:rPr>
              <w:rFonts w:hint="cs"/>
              <w:b/>
              <w:bCs/>
              <w:sz w:val="26"/>
              <w:szCs w:val="26"/>
              <w:rtl/>
            </w:rPr>
            <w:t xml:space="preserve"> </w:t>
          </w:r>
          <w:sdt>
            <w:sdtPr>
              <w:rPr>
                <w:rtl/>
              </w:rPr>
              <w:alias w:val="1172"/>
              <w:tag w:val="1172"/>
              <w:id w:val="946972896"/>
              <w:text w:multiLine="1"/>
            </w:sdtPr>
            <w:sdtEndPr/>
            <w:sdtContent>
              <w:r w:rsidR="00E67EFF">
                <w:rPr>
                  <w:b/>
                  <w:bCs/>
                  <w:sz w:val="26"/>
                  <w:szCs w:val="26"/>
                  <w:rtl/>
                </w:rPr>
                <w:t>יחזקאל ואח' נ' פקיד שומה יחידה ארצית לשומה</w:t>
              </w:r>
            </w:sdtContent>
          </w:sdt>
        </w:p>
        <w:p w:rsidR="0002177A" w:rsidRDefault="0002177A">
          <w:pPr>
            <w:rPr>
              <w:rtl/>
            </w:rPr>
          </w:pPr>
        </w:p>
      </w:tc>
    </w:tr>
  </w:tbl>
  <w:p w:rsidR="0002177A" w:rsidRDefault="0002177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EF40F3"/>
    <w:multiLevelType w:val="multilevel"/>
    <w:tmpl w:val="0409001F"/>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77A"/>
    <w:rsid w:val="0002177A"/>
    <w:rsid w:val="000D3604"/>
    <w:rsid w:val="00183443"/>
    <w:rsid w:val="002F2B2B"/>
    <w:rsid w:val="003045BC"/>
    <w:rsid w:val="00347822"/>
    <w:rsid w:val="00375F47"/>
    <w:rsid w:val="0040244A"/>
    <w:rsid w:val="00420E12"/>
    <w:rsid w:val="005179AC"/>
    <w:rsid w:val="0054447A"/>
    <w:rsid w:val="005A605A"/>
    <w:rsid w:val="005C2A9A"/>
    <w:rsid w:val="00694645"/>
    <w:rsid w:val="006A5FC7"/>
    <w:rsid w:val="006C0C79"/>
    <w:rsid w:val="006E4AD7"/>
    <w:rsid w:val="00703346"/>
    <w:rsid w:val="008168D9"/>
    <w:rsid w:val="00881BF1"/>
    <w:rsid w:val="008F1ABF"/>
    <w:rsid w:val="008F3A58"/>
    <w:rsid w:val="00964459"/>
    <w:rsid w:val="009B3B23"/>
    <w:rsid w:val="009C1537"/>
    <w:rsid w:val="009F2788"/>
    <w:rsid w:val="00A054F6"/>
    <w:rsid w:val="00A065CD"/>
    <w:rsid w:val="00A33606"/>
    <w:rsid w:val="00A4547C"/>
    <w:rsid w:val="00AC7E32"/>
    <w:rsid w:val="00B463F7"/>
    <w:rsid w:val="00BA470F"/>
    <w:rsid w:val="00BA65E6"/>
    <w:rsid w:val="00BD6E82"/>
    <w:rsid w:val="00C13A12"/>
    <w:rsid w:val="00C93CEB"/>
    <w:rsid w:val="00CE68C8"/>
    <w:rsid w:val="00D26926"/>
    <w:rsid w:val="00DF03B1"/>
    <w:rsid w:val="00DF71D0"/>
    <w:rsid w:val="00E444F8"/>
    <w:rsid w:val="00E44F63"/>
    <w:rsid w:val="00E64429"/>
    <w:rsid w:val="00E67EFF"/>
    <w:rsid w:val="00EC5735"/>
    <w:rsid w:val="00F658B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170260A-08C9-4B16-837F-30081095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9C1537"/>
    <w:rPr>
      <w:color w:val="808080"/>
    </w:rPr>
  </w:style>
  <w:style w:type="paragraph" w:styleId="ab">
    <w:name w:val="List Paragraph"/>
    <w:basedOn w:val="a"/>
    <w:uiPriority w:val="34"/>
    <w:qFormat/>
    <w:rsid w:val="000D3604"/>
    <w:pPr>
      <w:ind w:left="720"/>
      <w:contextualSpacing/>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809006971">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47C5F5A17CE48D5BFFBFC7D0687C4D8"/>
        <w:category>
          <w:name w:val="כללי"/>
          <w:gallery w:val="placeholder"/>
        </w:category>
        <w:types>
          <w:type w:val="bbPlcHdr"/>
        </w:types>
        <w:behaviors>
          <w:behavior w:val="content"/>
        </w:behaviors>
        <w:guid w:val="{FD49B9D8-ABA6-45B6-AF0C-DE34E3603AA7}"/>
      </w:docPartPr>
      <w:docPartBody>
        <w:p w:rsidR="00200AFE" w:rsidRDefault="00D85A54" w:rsidP="00D85A54">
          <w:pPr>
            <w:pStyle w:val="647C5F5A17CE48D5BFFBFC7D0687C4D83"/>
          </w:pPr>
          <w:r>
            <w:rPr>
              <w:rStyle w:val="a3"/>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altName w:val="Malgun Gothic Semilight"/>
    <w:charset w:val="00"/>
    <w:family w:val="swiss"/>
    <w:pitch w:val="variable"/>
    <w:sig w:usb0="00000000" w:usb1="00000000" w:usb2="00000000" w:usb3="00000000" w:csb0="00000021" w:csb1="00000000"/>
  </w:font>
  <w:font w:name="Narkisim">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altName w:val="Times New Roman"/>
    <w:charset w:val="00"/>
    <w:family w:val="swiss"/>
    <w:pitch w:val="variable"/>
    <w:sig w:usb0="00000000"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AC5"/>
    <w:rsid w:val="00200AFE"/>
    <w:rsid w:val="005D5A23"/>
    <w:rsid w:val="007D5AC5"/>
    <w:rsid w:val="00A6658A"/>
    <w:rsid w:val="00D85A5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5A54"/>
    <w:rPr>
      <w:color w:val="808080"/>
    </w:rPr>
  </w:style>
  <w:style w:type="paragraph" w:customStyle="1" w:styleId="647C5F5A17CE48D5BFFBFC7D0687C4D8">
    <w:name w:val="647C5F5A17CE48D5BFFBFC7D0687C4D8"/>
    <w:rsid w:val="005D5A23"/>
    <w:pPr>
      <w:bidi/>
      <w:spacing w:after="0" w:line="240" w:lineRule="auto"/>
    </w:pPr>
    <w:rPr>
      <w:rFonts w:ascii="Times New Roman" w:eastAsia="Times New Roman" w:hAnsi="Times New Roman" w:cs="David"/>
      <w:sz w:val="24"/>
      <w:szCs w:val="24"/>
    </w:rPr>
  </w:style>
  <w:style w:type="paragraph" w:customStyle="1" w:styleId="647C5F5A17CE48D5BFFBFC7D0687C4D81">
    <w:name w:val="647C5F5A17CE48D5BFFBFC7D0687C4D81"/>
    <w:rsid w:val="005D5A23"/>
    <w:pPr>
      <w:bidi/>
      <w:spacing w:after="0" w:line="240" w:lineRule="auto"/>
    </w:pPr>
    <w:rPr>
      <w:rFonts w:ascii="Times New Roman" w:eastAsia="Times New Roman" w:hAnsi="Times New Roman" w:cs="David"/>
      <w:sz w:val="24"/>
      <w:szCs w:val="24"/>
    </w:rPr>
  </w:style>
  <w:style w:type="paragraph" w:customStyle="1" w:styleId="647C5F5A17CE48D5BFFBFC7D0687C4D82">
    <w:name w:val="647C5F5A17CE48D5BFFBFC7D0687C4D82"/>
    <w:rsid w:val="00200AFE"/>
    <w:pPr>
      <w:bidi/>
      <w:spacing w:after="0" w:line="240" w:lineRule="auto"/>
    </w:pPr>
    <w:rPr>
      <w:rFonts w:ascii="Times New Roman" w:eastAsia="Times New Roman" w:hAnsi="Times New Roman" w:cs="David"/>
      <w:sz w:val="24"/>
      <w:szCs w:val="24"/>
    </w:rPr>
  </w:style>
  <w:style w:type="paragraph" w:customStyle="1" w:styleId="647C5F5A17CE48D5BFFBFC7D0687C4D83">
    <w:name w:val="647C5F5A17CE48D5BFFBFC7D0687C4D83"/>
    <w:rsid w:val="00D85A54"/>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955</Words>
  <Characters>4777</Characters>
  <Application>Microsoft Office Word</Application>
  <DocSecurity>4</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הדס לרנר</cp:lastModifiedBy>
  <cp:revision>2</cp:revision>
  <dcterms:created xsi:type="dcterms:W3CDTF">2022-04-07T07:34:00Z</dcterms:created>
  <dcterms:modified xsi:type="dcterms:W3CDTF">2022-04-07T07:34:00Z</dcterms:modified>
</cp:coreProperties>
</file>